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t xml:space="preserve">&lt;p&gt;&lt;strong&gt;KUNDËRSHTIM DHE VËREJTJE NDAJ DRAFT-KODIT CIVIL TË REPUBLIKËS SË KOSOVËS&lt;/strong&gt;&lt;/p&gt;
&lt;p&gt;Pas shqyrtimit të Draft-Kodit Civil të Republikës së Kosovës, shpreh shqetësimin dhe kundërshtimin tim lidhur me disa dispozita që prekin drejtpërdrejt institucionin e familjes, martesën, prindërimin dhe të drejtat e fëmijëve.&lt;/p&gt;
&lt;p&gt;Vlerësoj se familja përbën një nga themelet më të rëndësishme të shoqërisë dhe si e tillë duhet të gëzojë mbrojtje të veçantë juridike dhe institucionale. Për këtë arsye, çdo ndryshim legjislativ që ndikon në përkufizimin, funksionimin dhe strukturën e familjes duhet të trajtohet me kujdes të veçantë, duke marrë parasysh vlerat shoqërore, traditën, kulturën dhe interesin e përgjithshëm të qytetarëve.&lt;/p&gt;
&lt;p&gt;&lt;strong&gt;1. Mbrojtja e institucionit të familjes dhe martesës&lt;/strong&gt;&lt;/p&gt;
&lt;p&gt;Kërkoj që Kodi Civil të ruajë një përkufizim të qartë juridik të familjes dhe institucionit të martesës, duke garantuar mbrojtjen e tyre dhe duke shmangur paqartësitë ligjore që mund të krijojnë interpretime të ndryshme në të ardhmen.&lt;/p&gt;
&lt;p&gt;&lt;strong&gt;2. Interesi më i mirë i fëmijës&lt;/strong&gt;&lt;/p&gt;
&lt;p&gt;Çdo dispozitë që lidhet me familjen dhe prindërimin duhet të ketë si parim udhëheqës interesin më të mirë të fëmijës. Zhvillimi emocional, psikologjik, social dhe edukativ i fëmijëve duhet të jetë në qendër të çdo vendimmarrjeje ligjore.&lt;/p&gt;
&lt;p&gt;&lt;strong&gt;3. Përgjegjësia prindërore dhe roli i familjes&lt;/strong&gt;&lt;/p&gt;
&lt;p&gt;Vlerësoj se duhet të ruhet qartësia juridike lidhur me përgjegjësitë e prindërve në edukimin, rritjen dhe zhvillimin e fëmijëve. Prindërimi nuk duhet të trajtohet vetëm si çështje administrative apo juridike, por si përgjegjësi thelbësore familjare dhe shoqërore.&lt;/p&gt;
&lt;p&gt;&lt;strong&gt;4. Rishikimi i dispozitave të kontestuara&lt;/strong&gt;&lt;/p&gt;
&lt;p&gt;Kërkoj shqyrtimin e kujdesshëm të nenit 1138 dhe dispozitave të tjera që lidhen me format e bashkësive civile, duke kërkuar qartësi të plotë juridike dhe harmonizim me legjislacionin në fuqi, Kushtetutën dhe parimet e mbrojtjes së familjes.&lt;/p&gt;
&lt;p&gt;Theksoj se respektimi i dinjitetit dhe të drejtave themelore të çdo individi duhet të jetë i garantuar, ndërsa ndryshimet në legjislacionin familjar duhet të mbështeten në debat të gjerë publik dhe argumentim të mirëfilltë juridik e shoqëror.&lt;/p&gt;
&lt;p&gt;&lt;strong&gt;KËRKESA PËRFUNDIMTARE&lt;/strong&gt;&lt;/p&gt;
&lt;p&gt;Kërkoj që vërejtjet e paraqitura të shqyrtohen me seriozitet nga institucionet përgjegjëse dhe që dispozitat që prekin familjen, martesën, prindërimin dhe të drejtat e fëmijëve të rishikohen me kujdes të veçantë.&lt;/p&gt;
&lt;p&gt;Një Kod Civil duhet të jetë në shërbim të qytetarëve, të mbrojë institucionin e familjes, të sigurojë interesin më të mirë të fëmijëve dhe të garantojë siguri e qartësi juridike për brezat e ardhshëm.&lt;/p&gt;
&lt;p&gt;&lt;strong&gt;Familja është themeli i shoqërisë dhe mbrojtja e saj duhet të jetë përgjegjësi e përbashkët institucionale dhe qytetare.&lt;/strong&gt;&lt;/p&gt;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2026-11-05T09:49:35+01:00</dcterms:created>
  <dcterms:modified xsi:type="dcterms:W3CDTF">2026-11-05T09:49:35+01:00</dcterms:modified>
  <dc:title/>
  <dc:description/>
  <dc:subject/>
  <cp:keywords/>
  <cp:category/>
</cp:coreProperties>
</file>